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B752D" w14:textId="77C4F79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791415">
        <w:t>1</w:t>
      </w:r>
      <w:r w:rsidR="00F20F5C">
        <w:t>e</w:t>
      </w:r>
      <w:r w:rsidRPr="00CE0424">
        <w:tab/>
      </w:r>
      <w:bookmarkStart w:id="0" w:name="_GoBack"/>
      <w:r w:rsidR="00091557" w:rsidRPr="00D72970">
        <w:rPr>
          <w:rFonts w:cs="Arial"/>
          <w:sz w:val="28"/>
          <w:szCs w:val="26"/>
        </w:rPr>
        <w:t>R2-</w:t>
      </w:r>
      <w:r w:rsidR="00D72970" w:rsidRPr="00D72970">
        <w:rPr>
          <w:rFonts w:cs="Arial"/>
          <w:bCs/>
          <w:sz w:val="28"/>
          <w:szCs w:val="26"/>
        </w:rPr>
        <w:t>2006833</w:t>
      </w:r>
    </w:p>
    <w:bookmarkEnd w:id="0"/>
    <w:p w14:paraId="0C6B28B3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791415">
        <w:t>August</w:t>
      </w:r>
      <w:r>
        <w:t xml:space="preserve"> </w:t>
      </w:r>
      <w:r w:rsidR="00791415">
        <w:t>17</w:t>
      </w:r>
      <w:r w:rsidRPr="00C268E6">
        <w:rPr>
          <w:vertAlign w:val="superscript"/>
        </w:rPr>
        <w:t>t</w:t>
      </w:r>
      <w:r w:rsidR="00791415">
        <w:rPr>
          <w:vertAlign w:val="superscript"/>
        </w:rPr>
        <w:t>h</w:t>
      </w:r>
      <w:r>
        <w:t xml:space="preserve"> – </w:t>
      </w:r>
      <w:r w:rsidR="00791415">
        <w:t>28</w:t>
      </w:r>
      <w:r w:rsidRPr="00C268E6">
        <w:rPr>
          <w:vertAlign w:val="superscript"/>
        </w:rPr>
        <w:t>th</w:t>
      </w:r>
      <w:r>
        <w:t xml:space="preserve"> 2020</w:t>
      </w:r>
    </w:p>
    <w:p w14:paraId="06051D58" w14:textId="77777777" w:rsidR="00E90E49" w:rsidRPr="00CE0424" w:rsidRDefault="00E90E49" w:rsidP="00357380">
      <w:pPr>
        <w:pStyle w:val="3GPPHeader"/>
      </w:pPr>
    </w:p>
    <w:p w14:paraId="0D4362EF" w14:textId="0F21182B" w:rsidR="00E90E49" w:rsidRPr="00F20CAB" w:rsidRDefault="00E90E49" w:rsidP="00311702">
      <w:pPr>
        <w:pStyle w:val="3GPPHeader"/>
        <w:rPr>
          <w:sz w:val="22"/>
          <w:szCs w:val="22"/>
          <w:lang w:val="en-US"/>
        </w:rPr>
      </w:pPr>
      <w:r w:rsidRPr="00F20CAB">
        <w:rPr>
          <w:sz w:val="22"/>
          <w:szCs w:val="22"/>
          <w:lang w:val="en-US"/>
        </w:rPr>
        <w:t>Agenda Item:</w:t>
      </w:r>
      <w:r w:rsidRPr="00F20CAB">
        <w:rPr>
          <w:sz w:val="22"/>
          <w:szCs w:val="22"/>
          <w:lang w:val="en-US"/>
        </w:rPr>
        <w:tab/>
      </w:r>
      <w:r w:rsidR="00D72970" w:rsidRPr="00F20CAB">
        <w:rPr>
          <w:sz w:val="22"/>
          <w:szCs w:val="22"/>
          <w:lang w:val="en-US"/>
        </w:rPr>
        <w:t>9.1.2</w:t>
      </w:r>
    </w:p>
    <w:p w14:paraId="6D37138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4F45444" w14:textId="2E4A236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81C29">
        <w:rPr>
          <w:sz w:val="22"/>
          <w:szCs w:val="22"/>
        </w:rPr>
        <w:t>Reducing time</w:t>
      </w:r>
      <w:r w:rsidR="00B21F23">
        <w:rPr>
          <w:sz w:val="22"/>
          <w:szCs w:val="22"/>
        </w:rPr>
        <w:t xml:space="preserve"> taken</w:t>
      </w:r>
      <w:r w:rsidR="00381C29">
        <w:rPr>
          <w:sz w:val="22"/>
          <w:szCs w:val="22"/>
        </w:rPr>
        <w:t xml:space="preserve"> for reestablishment procedures</w:t>
      </w:r>
      <w:r w:rsidR="00621BED">
        <w:rPr>
          <w:sz w:val="22"/>
          <w:szCs w:val="22"/>
        </w:rPr>
        <w:t xml:space="preserve"> in NB-IOT</w:t>
      </w:r>
    </w:p>
    <w:p w14:paraId="5C51A03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01F46">
        <w:rPr>
          <w:sz w:val="22"/>
          <w:szCs w:val="22"/>
        </w:rPr>
        <w:t>Discussion, Decision</w:t>
      </w:r>
    </w:p>
    <w:p w14:paraId="427C9DB9" w14:textId="77777777" w:rsidR="00E90E49" w:rsidRPr="00CE0424" w:rsidRDefault="00E90E49" w:rsidP="00E90E49"/>
    <w:p w14:paraId="41BB951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452F60F" w14:textId="483F8DF0" w:rsidR="00477768" w:rsidRDefault="00381C29" w:rsidP="00CE0424">
      <w:pPr>
        <w:pStyle w:val="BodyText"/>
      </w:pPr>
      <w:r>
        <w:t>In Rel-17</w:t>
      </w:r>
      <w:r w:rsidR="00FF2AAE">
        <w:t>,</w:t>
      </w:r>
      <w:r>
        <w:t xml:space="preserve"> one of the </w:t>
      </w:r>
      <w:r w:rsidR="00872070">
        <w:t>objectives in</w:t>
      </w:r>
      <w:r w:rsidR="00FF2AAE">
        <w:t xml:space="preserve"> the</w:t>
      </w:r>
      <w:r w:rsidR="00872070">
        <w:t xml:space="preserve"> </w:t>
      </w:r>
      <w:r>
        <w:t>WI</w:t>
      </w:r>
      <w:r w:rsidR="00872070">
        <w:t>D</w:t>
      </w:r>
      <w:r>
        <w:t xml:space="preserve"> is</w:t>
      </w:r>
      <w:r w:rsidR="00872070">
        <w:t xml:space="preserve"> [WID’s T-doc]</w:t>
      </w:r>
      <w:r>
        <w:t>:</w:t>
      </w:r>
    </w:p>
    <w:p w14:paraId="0DB67678" w14:textId="77777777" w:rsidR="00381C29" w:rsidRDefault="00381C29" w:rsidP="00381C29">
      <w:pPr>
        <w:widowControl w:val="0"/>
        <w:numPr>
          <w:ilvl w:val="0"/>
          <w:numId w:val="23"/>
        </w:numPr>
        <w:overflowPunct/>
        <w:autoSpaceDE/>
        <w:adjustRightInd/>
        <w:spacing w:after="0" w:line="360" w:lineRule="auto"/>
        <w:contextualSpacing/>
        <w:jc w:val="both"/>
        <w:textAlignment w:val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Specify signaling for neighbor cell measurements and corresponding measurement triggering before RLF, to reduce the time taken to RRC reestablishment to another cell, without defining specific gaps. [NB-IoT] [RAN2, RAN4].</w:t>
      </w:r>
    </w:p>
    <w:p w14:paraId="2BEB84FB" w14:textId="77777777" w:rsidR="00381C29" w:rsidRDefault="00381C29" w:rsidP="00381C29">
      <w:pPr>
        <w:spacing w:after="0"/>
        <w:rPr>
          <w:b/>
          <w:bCs/>
          <w:u w:val="single"/>
          <w:lang w:eastAsia="en-GB"/>
        </w:rPr>
      </w:pPr>
    </w:p>
    <w:p w14:paraId="05594B2F" w14:textId="1CED604E" w:rsidR="00381C29" w:rsidRPr="00CE0424" w:rsidRDefault="00381C29" w:rsidP="00CE0424">
      <w:pPr>
        <w:pStyle w:val="BodyText"/>
      </w:pPr>
      <w:r>
        <w:t xml:space="preserve">In this paper we discuss what sort of signalling would be needed and what could be done before </w:t>
      </w:r>
      <w:r w:rsidR="00872070">
        <w:t>a radio link failure (</w:t>
      </w:r>
      <w:r>
        <w:t>RLF</w:t>
      </w:r>
      <w:r w:rsidR="00872070">
        <w:t>)</w:t>
      </w:r>
      <w:r>
        <w:t xml:space="preserve"> so that it takes less </w:t>
      </w:r>
      <w:r w:rsidR="00621BED">
        <w:t>time</w:t>
      </w:r>
      <w:r w:rsidR="00D12615">
        <w:t xml:space="preserve"> </w:t>
      </w:r>
      <w:r>
        <w:t>for the UE to re-establish to another cell</w:t>
      </w:r>
    </w:p>
    <w:p w14:paraId="4DA5EDD1" w14:textId="22A2D97B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CC1BDA7" w14:textId="1F594735" w:rsidR="007046E8" w:rsidRDefault="00A13AB2" w:rsidP="00823A01">
      <w:pPr>
        <w:pStyle w:val="Heading2"/>
      </w:pPr>
      <w:r w:rsidRPr="00823A01">
        <w:t>2.1</w:t>
      </w:r>
      <w:r w:rsidR="007046E8">
        <w:t xml:space="preserve"> Objective</w:t>
      </w:r>
    </w:p>
    <w:p w14:paraId="3F0D7DAB" w14:textId="35AFEB97" w:rsidR="007046E8" w:rsidRDefault="001955D1" w:rsidP="007046E8">
      <w:r>
        <w:t xml:space="preserve">The objective says </w:t>
      </w:r>
      <w:r w:rsidR="00D97523">
        <w:t xml:space="preserve">that </w:t>
      </w:r>
      <w:r w:rsidR="00B504A2">
        <w:t>signalling</w:t>
      </w:r>
      <w:r w:rsidR="00D97523">
        <w:t xml:space="preserve"> should be specified</w:t>
      </w:r>
      <w:r w:rsidR="00B504A2">
        <w:t xml:space="preserve">; </w:t>
      </w:r>
      <w:r w:rsidR="00101F46">
        <w:t>however,</w:t>
      </w:r>
      <w:r w:rsidR="00D92329">
        <w:t xml:space="preserve"> </w:t>
      </w:r>
      <w:r w:rsidR="00D97523">
        <w:t>it is not clear if the intention is signalling</w:t>
      </w:r>
      <w:r w:rsidR="00E37862">
        <w:t xml:space="preserve"> from </w:t>
      </w:r>
      <w:r w:rsidR="003E44B6">
        <w:t>UE to NW</w:t>
      </w:r>
      <w:r w:rsidR="00D97523">
        <w:t xml:space="preserve">, </w:t>
      </w:r>
      <w:r w:rsidR="00E37862">
        <w:t xml:space="preserve">or </w:t>
      </w:r>
      <w:r w:rsidR="00D97523">
        <w:t xml:space="preserve">from </w:t>
      </w:r>
      <w:r w:rsidR="003E44B6">
        <w:t xml:space="preserve">NW to UE. Further what should be the basis of signalling and when should </w:t>
      </w:r>
      <w:r w:rsidR="00C06DEE">
        <w:t>the signalling take place.</w:t>
      </w:r>
    </w:p>
    <w:p w14:paraId="1C9FF1D8" w14:textId="0700C13A" w:rsidR="00C06DEE" w:rsidRPr="007046E8" w:rsidRDefault="00C06DEE" w:rsidP="004A6DCE">
      <w:pPr>
        <w:pStyle w:val="Proposal"/>
      </w:pPr>
      <w:r w:rsidRPr="00FB1AE1">
        <w:rPr>
          <w:lang w:val="en-US"/>
        </w:rPr>
        <w:fldChar w:fldCharType="begin"/>
      </w:r>
      <w:r w:rsidRPr="00FB1AE1">
        <w:rPr>
          <w:lang w:val="en-US"/>
        </w:rPr>
        <w:instrText xml:space="preserve"> TOC \n \h \z \t "Proposal" \c </w:instrText>
      </w:r>
      <w:r w:rsidRPr="00FB1AE1">
        <w:rPr>
          <w:lang w:val="en-US"/>
        </w:rPr>
        <w:fldChar w:fldCharType="separate"/>
      </w:r>
      <w:hyperlink w:anchor="_Toc46845071" w:history="1">
        <w:bookmarkStart w:id="2" w:name="_Toc47452816"/>
        <w:r>
          <w:rPr>
            <w:rStyle w:val="Hyperlink"/>
            <w:noProof/>
          </w:rPr>
          <w:t>RAN2 to discuss the objective of the WI</w:t>
        </w:r>
        <w:r w:rsidR="00FB1AE1">
          <w:rPr>
            <w:rStyle w:val="Hyperlink"/>
            <w:noProof/>
          </w:rPr>
          <w:t>; particularly as what is expected in terms of signalling</w:t>
        </w:r>
        <w:r w:rsidRPr="00675D90">
          <w:rPr>
            <w:rStyle w:val="Hyperlink"/>
            <w:noProof/>
          </w:rPr>
          <w:t>.</w:t>
        </w:r>
        <w:bookmarkEnd w:id="2"/>
      </w:hyperlink>
      <w:r w:rsidRPr="00FB1AE1">
        <w:rPr>
          <w:lang w:val="en-US"/>
        </w:rPr>
        <w:fldChar w:fldCharType="end"/>
      </w:r>
    </w:p>
    <w:p w14:paraId="71A1370D" w14:textId="629F9663" w:rsidR="00A13AB2" w:rsidRPr="00823A01" w:rsidRDefault="007046E8" w:rsidP="00823A01">
      <w:pPr>
        <w:pStyle w:val="Heading2"/>
      </w:pPr>
      <w:r>
        <w:t xml:space="preserve">2.2 </w:t>
      </w:r>
      <w:r w:rsidR="00A13AB2" w:rsidRPr="00823A01">
        <w:t>Reestablishment Procedure</w:t>
      </w:r>
    </w:p>
    <w:p w14:paraId="50C9DC8A" w14:textId="13303BD2" w:rsidR="00381C29" w:rsidRDefault="00FF2AAE" w:rsidP="00381C29">
      <w:r>
        <w:t xml:space="preserve">In NB-IoT, the reestablishment </w:t>
      </w:r>
      <w:r w:rsidR="00381C29">
        <w:t>procedure as such can be broadly categorized into three different procedures:</w:t>
      </w:r>
    </w:p>
    <w:p w14:paraId="6B1E8CD9" w14:textId="3C73A7A7" w:rsidR="00381C29" w:rsidRPr="00823A01" w:rsidRDefault="00381C29" w:rsidP="00381C29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</w:rPr>
      </w:pPr>
      <w:r w:rsidRPr="00823A01">
        <w:rPr>
          <w:rFonts w:ascii="Times New Roman" w:hAnsi="Times New Roman"/>
          <w:sz w:val="20"/>
          <w:lang w:val="sv-SE"/>
        </w:rPr>
        <w:t>Reestablishm</w:t>
      </w:r>
      <w:r w:rsidR="00FF2AAE">
        <w:rPr>
          <w:rFonts w:ascii="Times New Roman" w:hAnsi="Times New Roman"/>
          <w:sz w:val="20"/>
          <w:lang w:val="sv-SE"/>
        </w:rPr>
        <w:t>e</w:t>
      </w:r>
      <w:r w:rsidRPr="00823A01">
        <w:rPr>
          <w:rFonts w:ascii="Times New Roman" w:hAnsi="Times New Roman"/>
          <w:sz w:val="20"/>
          <w:lang w:val="sv-SE"/>
        </w:rPr>
        <w:t>nt to same cell</w:t>
      </w:r>
    </w:p>
    <w:p w14:paraId="0E0E3E32" w14:textId="77777777" w:rsidR="00381C29" w:rsidRPr="00823A01" w:rsidRDefault="00381C29" w:rsidP="00381C29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</w:rPr>
      </w:pPr>
      <w:r w:rsidRPr="00FF2AAE">
        <w:rPr>
          <w:rFonts w:ascii="Times New Roman" w:hAnsi="Times New Roman"/>
          <w:sz w:val="20"/>
          <w:lang w:val="en-US"/>
        </w:rPr>
        <w:t>Reestablishment to new cell but in the same eNB</w:t>
      </w:r>
    </w:p>
    <w:p w14:paraId="5374C43A" w14:textId="77777777" w:rsidR="00381C29" w:rsidRPr="00823A01" w:rsidRDefault="00381C29" w:rsidP="00381C29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</w:rPr>
      </w:pPr>
      <w:r w:rsidRPr="00FF2AAE">
        <w:rPr>
          <w:rFonts w:ascii="Times New Roman" w:hAnsi="Times New Roman"/>
          <w:sz w:val="20"/>
          <w:lang w:val="en-US"/>
        </w:rPr>
        <w:t>Reestablishment to new cell but in the different eNB</w:t>
      </w:r>
    </w:p>
    <w:p w14:paraId="4198CA86" w14:textId="77777777" w:rsidR="00381C29" w:rsidRDefault="00381C29" w:rsidP="00381C29"/>
    <w:p w14:paraId="1D9E4E46" w14:textId="3BF38CA2" w:rsidR="00381C29" w:rsidRDefault="00381C29" w:rsidP="00381C29">
      <w:r>
        <w:t>RAN2 need</w:t>
      </w:r>
      <w:r w:rsidR="00FF2AAE">
        <w:t>s</w:t>
      </w:r>
      <w:r>
        <w:t xml:space="preserve"> to study and see if all the above </w:t>
      </w:r>
      <w:r w:rsidR="00FF2AAE">
        <w:t xml:space="preserve">procedures </w:t>
      </w:r>
      <w:r>
        <w:t xml:space="preserve">require some latency reductions or </w:t>
      </w:r>
      <w:r w:rsidR="00FF2AAE">
        <w:t xml:space="preserve">if </w:t>
      </w:r>
      <w:r>
        <w:t xml:space="preserve">it </w:t>
      </w:r>
      <w:r w:rsidR="00FF2AAE">
        <w:t xml:space="preserve">is </w:t>
      </w:r>
      <w:r>
        <w:t xml:space="preserve">only when the reestablishment is </w:t>
      </w:r>
      <w:r w:rsidR="00FF2AAE">
        <w:t xml:space="preserve">to a </w:t>
      </w:r>
      <w:r>
        <w:t>new cell or only when there is change of eNB.</w:t>
      </w:r>
    </w:p>
    <w:p w14:paraId="75A9A369" w14:textId="35C1607F" w:rsidR="00453281" w:rsidRDefault="00453281" w:rsidP="0029371C">
      <w:pPr>
        <w:pStyle w:val="Proposal"/>
        <w:rPr>
          <w:rFonts w:asciiTheme="minorHAnsi" w:eastAsiaTheme="minorEastAsia" w:hAnsiTheme="minorHAnsi" w:cstheme="minorBidi"/>
          <w:noProof/>
          <w:sz w:val="22"/>
          <w:szCs w:val="22"/>
          <w:lang w:val="sv-SE" w:eastAsia="sv-SE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\n \h \z \t "Proposal" \c </w:instrText>
      </w:r>
      <w:r>
        <w:rPr>
          <w:lang w:val="en-US"/>
        </w:rPr>
        <w:fldChar w:fldCharType="separate"/>
      </w:r>
      <w:hyperlink w:anchor="_Toc46845071" w:history="1">
        <w:bookmarkStart w:id="3" w:name="_Toc47452817"/>
        <w:r>
          <w:rPr>
            <w:rStyle w:val="Hyperlink"/>
            <w:noProof/>
          </w:rPr>
          <w:t xml:space="preserve">RAN2 to </w:t>
        </w:r>
        <w:r w:rsidR="00982257">
          <w:rPr>
            <w:rStyle w:val="Hyperlink"/>
            <w:noProof/>
          </w:rPr>
          <w:t xml:space="preserve">study and discuss which reestablishment </w:t>
        </w:r>
        <w:r w:rsidR="007B1CBF">
          <w:rPr>
            <w:rStyle w:val="Hyperlink"/>
            <w:noProof/>
          </w:rPr>
          <w:t>procedure</w:t>
        </w:r>
        <w:r w:rsidR="004A6DCE">
          <w:rPr>
            <w:rStyle w:val="Hyperlink"/>
            <w:noProof/>
          </w:rPr>
          <w:t>(s)</w:t>
        </w:r>
        <w:r w:rsidR="007B1CBF">
          <w:rPr>
            <w:rStyle w:val="Hyperlink"/>
            <w:noProof/>
          </w:rPr>
          <w:t xml:space="preserve"> </w:t>
        </w:r>
        <w:r w:rsidR="004A6DCE">
          <w:rPr>
            <w:rStyle w:val="Hyperlink"/>
            <w:noProof/>
          </w:rPr>
          <w:t xml:space="preserve">(e.g., </w:t>
        </w:r>
        <w:r w:rsidR="004A6DCE" w:rsidRPr="004A6DCE">
          <w:rPr>
            <w:rStyle w:val="Hyperlink"/>
            <w:noProof/>
          </w:rPr>
          <w:t>to same cell</w:t>
        </w:r>
        <w:r w:rsidR="004A6DCE">
          <w:rPr>
            <w:rStyle w:val="Hyperlink"/>
            <w:noProof/>
          </w:rPr>
          <w:t xml:space="preserve">, </w:t>
        </w:r>
        <w:r w:rsidR="004A6DCE" w:rsidRPr="004A6DCE">
          <w:rPr>
            <w:rStyle w:val="Hyperlink"/>
            <w:noProof/>
          </w:rPr>
          <w:t>to new cell but in the same eNB</w:t>
        </w:r>
        <w:r w:rsidR="004A6DCE">
          <w:rPr>
            <w:rStyle w:val="Hyperlink"/>
            <w:noProof/>
          </w:rPr>
          <w:t xml:space="preserve">, </w:t>
        </w:r>
        <w:r w:rsidR="004A6DCE" w:rsidRPr="004A6DCE">
          <w:rPr>
            <w:rStyle w:val="Hyperlink"/>
            <w:noProof/>
          </w:rPr>
          <w:t>to new cell but in the different eNB</w:t>
        </w:r>
        <w:r w:rsidR="004A6DCE">
          <w:rPr>
            <w:rStyle w:val="Hyperlink"/>
            <w:noProof/>
          </w:rPr>
          <w:t xml:space="preserve">) </w:t>
        </w:r>
        <w:r w:rsidR="007B1CBF">
          <w:rPr>
            <w:rStyle w:val="Hyperlink"/>
            <w:noProof/>
          </w:rPr>
          <w:t>require</w:t>
        </w:r>
        <w:r w:rsidR="001A0C5F">
          <w:rPr>
            <w:rStyle w:val="Hyperlink"/>
            <w:noProof/>
          </w:rPr>
          <w:t>(s)</w:t>
        </w:r>
        <w:r>
          <w:rPr>
            <w:rStyle w:val="Hyperlink"/>
            <w:noProof/>
          </w:rPr>
          <w:t xml:space="preserve"> </w:t>
        </w:r>
        <w:r w:rsidR="004A6DCE">
          <w:rPr>
            <w:rStyle w:val="Hyperlink"/>
            <w:noProof/>
          </w:rPr>
          <w:t xml:space="preserve">a latency reduction </w:t>
        </w:r>
        <w:r>
          <w:rPr>
            <w:rStyle w:val="Hyperlink"/>
            <w:noProof/>
          </w:rPr>
          <w:t xml:space="preserve">solution </w:t>
        </w:r>
        <w:r w:rsidRPr="00675D90">
          <w:rPr>
            <w:rStyle w:val="Hyperlink"/>
            <w:noProof/>
          </w:rPr>
          <w:t>.</w:t>
        </w:r>
        <w:bookmarkEnd w:id="3"/>
      </w:hyperlink>
    </w:p>
    <w:p w14:paraId="2CDB571C" w14:textId="07EEF5F9" w:rsidR="00453281" w:rsidRDefault="00453281" w:rsidP="0029371C">
      <w:pPr>
        <w:pStyle w:val="Proposal"/>
        <w:numPr>
          <w:ilvl w:val="0"/>
          <w:numId w:val="0"/>
        </w:numPr>
        <w:ind w:left="1701"/>
      </w:pPr>
      <w:r>
        <w:rPr>
          <w:lang w:val="en-US"/>
        </w:rPr>
        <w:fldChar w:fldCharType="end"/>
      </w:r>
    </w:p>
    <w:p w14:paraId="388E8D95" w14:textId="77777777" w:rsidR="00381C29" w:rsidRDefault="00381C29" w:rsidP="00381C29">
      <w:r>
        <w:t xml:space="preserve">The reestablishment procedure for CP C-IOT is different than the usual LTE reestablishment since it </w:t>
      </w:r>
      <w:r w:rsidR="00A13AB2">
        <w:t>involves</w:t>
      </w:r>
      <w:r>
        <w:t xml:space="preserve"> </w:t>
      </w:r>
      <w:r w:rsidR="00A13AB2">
        <w:t xml:space="preserve">eNB </w:t>
      </w:r>
      <w:r>
        <w:t>CP</w:t>
      </w:r>
      <w:r w:rsidR="00A13AB2">
        <w:t xml:space="preserve"> relocation indication.</w:t>
      </w:r>
    </w:p>
    <w:p w14:paraId="4FDA501D" w14:textId="7ED61BD3" w:rsidR="00A13AB2" w:rsidRDefault="00A13AB2" w:rsidP="00381C29">
      <w:r>
        <w:lastRenderedPageBreak/>
        <w:t>From 36.300</w:t>
      </w:r>
      <w:r w:rsidR="0017180F">
        <w:t xml:space="preserve"> [Reference]:</w:t>
      </w:r>
    </w:p>
    <w:p w14:paraId="05405137" w14:textId="77777777" w:rsidR="00A13AB2" w:rsidRPr="00A13AB2" w:rsidRDefault="00A13AB2" w:rsidP="00A13AB2">
      <w:pPr>
        <w:pStyle w:val="Heading4"/>
        <w:rPr>
          <w:i/>
        </w:rPr>
      </w:pPr>
      <w:bookmarkStart w:id="4" w:name="_Toc20403160"/>
      <w:bookmarkStart w:id="5" w:name="_Toc29372666"/>
      <w:bookmarkStart w:id="6" w:name="_Toc37760621"/>
      <w:r w:rsidRPr="00A13AB2">
        <w:rPr>
          <w:i/>
        </w:rPr>
        <w:t>19.2.2.30</w:t>
      </w:r>
      <w:r w:rsidRPr="00A13AB2">
        <w:rPr>
          <w:i/>
        </w:rPr>
        <w:tab/>
        <w:t>eNB CP Relocation Indication</w:t>
      </w:r>
      <w:bookmarkEnd w:id="4"/>
      <w:bookmarkEnd w:id="5"/>
      <w:bookmarkEnd w:id="6"/>
    </w:p>
    <w:p w14:paraId="0F7854F2" w14:textId="77777777" w:rsidR="00A13AB2" w:rsidRPr="00A13AB2" w:rsidRDefault="00A13AB2" w:rsidP="00A13AB2">
      <w:pPr>
        <w:rPr>
          <w:i/>
        </w:rPr>
      </w:pPr>
      <w:r w:rsidRPr="00A13AB2">
        <w:rPr>
          <w:rFonts w:eastAsia="SimSun"/>
          <w:i/>
          <w:kern w:val="2"/>
          <w:lang w:eastAsia="zh-CN"/>
        </w:rPr>
        <w:t>The eNB CP Relocation Indication procedure is only applicable for NB-IOT UEs using</w:t>
      </w:r>
      <w:r w:rsidRPr="00A13AB2">
        <w:rPr>
          <w:i/>
          <w:lang w:eastAsia="zh-CN"/>
        </w:rPr>
        <w:t xml:space="preserve"> Control Plane </w:t>
      </w:r>
      <w:proofErr w:type="spellStart"/>
      <w:r w:rsidRPr="00A13AB2">
        <w:rPr>
          <w:i/>
          <w:lang w:eastAsia="zh-CN"/>
        </w:rPr>
        <w:t>CIoT</w:t>
      </w:r>
      <w:proofErr w:type="spellEnd"/>
      <w:r w:rsidRPr="00A13AB2">
        <w:rPr>
          <w:i/>
          <w:lang w:eastAsia="zh-CN"/>
        </w:rPr>
        <w:t xml:space="preserve"> EPS optimisations. </w:t>
      </w:r>
      <w:r w:rsidRPr="00A13AB2">
        <w:rPr>
          <w:i/>
        </w:rPr>
        <w:t xml:space="preserve">The purpose of the eNB CP Relocation Indication procedure is to request the MME to authenticate the UE's re-establishment request as described in TS 33.401 [22], and initiate the establishment of the </w:t>
      </w:r>
      <w:r w:rsidRPr="00A13AB2">
        <w:rPr>
          <w:bCs/>
          <w:i/>
        </w:rPr>
        <w:t>UE</w:t>
      </w:r>
      <w:r w:rsidRPr="00A13AB2">
        <w:rPr>
          <w:i/>
        </w:rPr>
        <w:t xml:space="preserve">-associated logical S1-connection after the UE has initiated </w:t>
      </w:r>
      <w:proofErr w:type="gramStart"/>
      <w:r w:rsidRPr="00A13AB2">
        <w:rPr>
          <w:i/>
        </w:rPr>
        <w:t>a</w:t>
      </w:r>
      <w:proofErr w:type="gramEnd"/>
      <w:r w:rsidRPr="00A13AB2">
        <w:rPr>
          <w:i/>
        </w:rPr>
        <w:t xml:space="preserve"> RRC Re-establishment procedure in an eNB.</w:t>
      </w:r>
    </w:p>
    <w:p w14:paraId="165F709A" w14:textId="77777777" w:rsidR="00A13AB2" w:rsidRPr="00A13AB2" w:rsidRDefault="00A13AB2" w:rsidP="00A13AB2">
      <w:pPr>
        <w:rPr>
          <w:i/>
        </w:rPr>
      </w:pPr>
      <w:r w:rsidRPr="00A13AB2">
        <w:rPr>
          <w:i/>
        </w:rPr>
        <w:t xml:space="preserve">When the eNB receives the </w:t>
      </w:r>
      <w:proofErr w:type="spellStart"/>
      <w:r w:rsidRPr="00A13AB2">
        <w:rPr>
          <w:i/>
        </w:rPr>
        <w:t>RRCConnectionReestablishmentRequest</w:t>
      </w:r>
      <w:proofErr w:type="spellEnd"/>
      <w:r w:rsidRPr="00A13AB2">
        <w:rPr>
          <w:i/>
        </w:rPr>
        <w:t xml:space="preserve"> message, it triggers the eNB CP Relocation Indication procedure including NAS-level security information received from the UE. If the MME authenticates the request, it initiates the Connection Establishment Indication procedure including NAS-level security information to be sent to the UE in the </w:t>
      </w:r>
      <w:proofErr w:type="spellStart"/>
      <w:r w:rsidRPr="00A13AB2">
        <w:rPr>
          <w:i/>
        </w:rPr>
        <w:t>RRCConnectionReestablishment</w:t>
      </w:r>
      <w:proofErr w:type="spellEnd"/>
      <w:r w:rsidRPr="00A13AB2">
        <w:rPr>
          <w:i/>
        </w:rPr>
        <w:t xml:space="preserve"> message. In case the MME cannot authenticate the UE's request, the CONNECTION ESTABLISHMENT INDICATION message does not contain security information, and the eNB shall fail the RRC Re-establishment. In case of authentication failure, the eNB and the MME should locally release the allocated S1 resources, if any.</w:t>
      </w:r>
    </w:p>
    <w:p w14:paraId="666F8F9F" w14:textId="77777777" w:rsidR="00A13AB2" w:rsidRPr="00A13AB2" w:rsidRDefault="00A13AB2" w:rsidP="00A13AB2">
      <w:pPr>
        <w:pStyle w:val="TH"/>
        <w:overflowPunct/>
        <w:autoSpaceDE/>
        <w:autoSpaceDN/>
        <w:adjustRightInd/>
        <w:ind w:left="644"/>
        <w:jc w:val="left"/>
        <w:textAlignment w:val="auto"/>
        <w:rPr>
          <w:i/>
        </w:rPr>
      </w:pPr>
      <w:r w:rsidRPr="00A13AB2">
        <w:rPr>
          <w:rFonts w:eastAsia="MS Mincho"/>
          <w:i/>
          <w:lang w:eastAsia="en-US"/>
        </w:rPr>
        <w:object w:dxaOrig="9975" w:dyaOrig="2820" w14:anchorId="5C448A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136.5pt" o:ole="">
            <v:imagedata r:id="rId11" o:title=""/>
          </v:shape>
          <o:OLEObject Type="Embed" ProgID="Visio.Drawing.11" ShapeID="_x0000_i1025" DrawAspect="Content" ObjectID="_1658261628" r:id="rId12"/>
        </w:object>
      </w:r>
    </w:p>
    <w:p w14:paraId="60E5B222" w14:textId="77777777" w:rsidR="00A13AB2" w:rsidRPr="00A13AB2" w:rsidRDefault="00A13AB2" w:rsidP="00A13AB2">
      <w:pPr>
        <w:pStyle w:val="TF"/>
        <w:rPr>
          <w:i/>
        </w:rPr>
      </w:pPr>
      <w:r w:rsidRPr="00A13AB2">
        <w:rPr>
          <w:i/>
        </w:rPr>
        <w:t>Figure 19.2.2.30-1: eNB CP Relocation Indication procedure (highlighted in blue)</w:t>
      </w:r>
    </w:p>
    <w:p w14:paraId="66EFA75A" w14:textId="77777777" w:rsidR="00A13AB2" w:rsidRPr="00A13AB2" w:rsidRDefault="00A13AB2" w:rsidP="00A13AB2">
      <w:pPr>
        <w:rPr>
          <w:rFonts w:eastAsia="MS Mincho"/>
          <w:b/>
          <w:i/>
        </w:rPr>
      </w:pPr>
      <w:r w:rsidRPr="00A13AB2">
        <w:rPr>
          <w:rFonts w:eastAsia="MS Mincho"/>
          <w:b/>
          <w:i/>
        </w:rPr>
        <w:t>Interactions with the MME CP Relocation and UE Context Release procedures:</w:t>
      </w:r>
    </w:p>
    <w:p w14:paraId="12F42235" w14:textId="77777777" w:rsidR="00A13AB2" w:rsidRPr="00A13AB2" w:rsidRDefault="00A13AB2" w:rsidP="00A13AB2">
      <w:pPr>
        <w:rPr>
          <w:rFonts w:eastAsia="MS Mincho"/>
          <w:i/>
        </w:rPr>
      </w:pPr>
      <w:r w:rsidRPr="00A13AB2">
        <w:rPr>
          <w:rFonts w:eastAsia="MS Mincho"/>
          <w:i/>
        </w:rPr>
        <w:t xml:space="preserve">In case of successful UE authentication, the MME initiates the UE Context Release procedure to release the UE's </w:t>
      </w:r>
      <w:r w:rsidRPr="00A13AB2">
        <w:rPr>
          <w:i/>
        </w:rPr>
        <w:t xml:space="preserve">old </w:t>
      </w:r>
      <w:r w:rsidRPr="00A13AB2">
        <w:rPr>
          <w:rFonts w:eastAsia="MS Mincho"/>
          <w:i/>
        </w:rPr>
        <w:t xml:space="preserve">S1-connection. The MME may initiate the MME CP Relocation procedure before the release procedure in order to trigger the return </w:t>
      </w:r>
      <w:r w:rsidRPr="00A13AB2">
        <w:rPr>
          <w:i/>
        </w:rPr>
        <w:t xml:space="preserve">of </w:t>
      </w:r>
      <w:r w:rsidRPr="00A13AB2">
        <w:rPr>
          <w:rFonts w:eastAsia="MS Mincho"/>
          <w:i/>
        </w:rPr>
        <w:t>non-delivered NAS PDUs to the MME.</w:t>
      </w:r>
    </w:p>
    <w:p w14:paraId="3AD0FE0E" w14:textId="77777777" w:rsidR="00A13AB2" w:rsidRPr="00A13AB2" w:rsidRDefault="00A13AB2" w:rsidP="00A13AB2">
      <w:pPr>
        <w:pStyle w:val="Heading4"/>
        <w:rPr>
          <w:i/>
        </w:rPr>
      </w:pPr>
      <w:bookmarkStart w:id="7" w:name="_Toc20403161"/>
      <w:bookmarkStart w:id="8" w:name="_Toc29372667"/>
      <w:bookmarkStart w:id="9" w:name="_Toc37760622"/>
      <w:r w:rsidRPr="00A13AB2">
        <w:rPr>
          <w:i/>
        </w:rPr>
        <w:t>19.2.2.31</w:t>
      </w:r>
      <w:r w:rsidRPr="00A13AB2">
        <w:rPr>
          <w:i/>
        </w:rPr>
        <w:tab/>
        <w:t>MME CP Relocation Indication</w:t>
      </w:r>
      <w:bookmarkEnd w:id="7"/>
      <w:bookmarkEnd w:id="8"/>
      <w:bookmarkEnd w:id="9"/>
    </w:p>
    <w:p w14:paraId="7EAF3EC4" w14:textId="77777777" w:rsidR="00A13AB2" w:rsidRPr="00A13AB2" w:rsidRDefault="00A13AB2" w:rsidP="00A13AB2">
      <w:pPr>
        <w:rPr>
          <w:rFonts w:eastAsia="SimSun"/>
          <w:i/>
          <w:kern w:val="2"/>
          <w:lang w:eastAsia="zh-CN"/>
        </w:rPr>
      </w:pPr>
      <w:r w:rsidRPr="00A13AB2">
        <w:rPr>
          <w:rFonts w:eastAsia="SimSun"/>
          <w:i/>
          <w:kern w:val="2"/>
          <w:lang w:eastAsia="zh-CN"/>
        </w:rPr>
        <w:t>The MME CP Relocation Indication procedure is only applicable for UEs using</w:t>
      </w:r>
      <w:r w:rsidRPr="00A13AB2">
        <w:rPr>
          <w:i/>
          <w:lang w:eastAsia="zh-CN"/>
        </w:rPr>
        <w:t xml:space="preserve"> Control Plane CIoT EPS optimisations.</w:t>
      </w:r>
      <w:r w:rsidRPr="00A13AB2">
        <w:rPr>
          <w:rFonts w:eastAsia="SimSun"/>
          <w:i/>
          <w:kern w:val="2"/>
          <w:lang w:eastAsia="zh-CN"/>
        </w:rPr>
        <w:t xml:space="preserve"> The purpose of the MME CP Relocation Indication procedure is to inform the previously serving eNB that the UE's connection is to be relocated to a new eNB.</w:t>
      </w:r>
    </w:p>
    <w:p w14:paraId="2407E3AF" w14:textId="77777777" w:rsidR="00A13AB2" w:rsidRPr="00A13AB2" w:rsidRDefault="00A13AB2" w:rsidP="00A13AB2">
      <w:pPr>
        <w:rPr>
          <w:i/>
        </w:rPr>
      </w:pPr>
      <w:r w:rsidRPr="00A13AB2">
        <w:rPr>
          <w:i/>
        </w:rPr>
        <w:t xml:space="preserve">Upon reception of the MME CP RELOCATION INDICATION message, the old eNB shall terminate the delivery of downlink NAS PDUs towards the UE, and initiate NAS </w:t>
      </w:r>
      <w:proofErr w:type="gramStart"/>
      <w:r w:rsidRPr="00A13AB2">
        <w:rPr>
          <w:i/>
        </w:rPr>
        <w:t>Non Delivery</w:t>
      </w:r>
      <w:proofErr w:type="gramEnd"/>
      <w:r w:rsidRPr="00A13AB2">
        <w:rPr>
          <w:i/>
        </w:rPr>
        <w:t xml:space="preserve"> Indication procedure(s) to report the non-delivery of any NAS PDUs previously received from the MME.</w:t>
      </w:r>
    </w:p>
    <w:p w14:paraId="5DB67B6D" w14:textId="77777777" w:rsidR="00A13AB2" w:rsidRPr="00A13AB2" w:rsidRDefault="00A13AB2" w:rsidP="00A13AB2">
      <w:pPr>
        <w:pStyle w:val="TH"/>
        <w:rPr>
          <w:i/>
        </w:rPr>
      </w:pPr>
      <w:r w:rsidRPr="00A13AB2">
        <w:rPr>
          <w:i/>
        </w:rPr>
        <w:object w:dxaOrig="5878" w:dyaOrig="2097" w14:anchorId="4C8737C0">
          <v:shape id="_x0000_i1026" type="#_x0000_t75" style="width:294.75pt;height:100.5pt" o:ole="">
            <v:imagedata r:id="rId13" o:title=""/>
          </v:shape>
          <o:OLEObject Type="Embed" ProgID="Visio.Drawing.11" ShapeID="_x0000_i1026" DrawAspect="Content" ObjectID="_1658261629" r:id="rId14"/>
        </w:object>
      </w:r>
    </w:p>
    <w:p w14:paraId="3CA9F00C" w14:textId="77777777" w:rsidR="00A13AB2" w:rsidRPr="00A13AB2" w:rsidRDefault="00A13AB2" w:rsidP="00A13AB2">
      <w:pPr>
        <w:rPr>
          <w:i/>
        </w:rPr>
      </w:pPr>
      <w:r w:rsidRPr="00A13AB2">
        <w:rPr>
          <w:i/>
        </w:rPr>
        <w:t>Figure 19.2.2.31-1: MME CP Relocation Indication procedure (highlighted</w:t>
      </w:r>
    </w:p>
    <w:p w14:paraId="5E6AC1F7" w14:textId="77777777" w:rsidR="00A13AB2" w:rsidRDefault="00A13AB2" w:rsidP="00381C29"/>
    <w:p w14:paraId="40A0171E" w14:textId="30BE96F9" w:rsidR="00823A01" w:rsidRDefault="00823A01" w:rsidP="00823A01">
      <w:pPr>
        <w:pStyle w:val="Observation"/>
      </w:pPr>
      <w:bookmarkStart w:id="10" w:name="_Toc47452310"/>
      <w:r>
        <w:lastRenderedPageBreak/>
        <w:t>The latency reduction techniques should ensure that the existing procedure is not disrupted.</w:t>
      </w:r>
      <w:bookmarkEnd w:id="10"/>
    </w:p>
    <w:p w14:paraId="1AB2A274" w14:textId="34F5D304" w:rsidR="00BD43CB" w:rsidRPr="00CE0424" w:rsidRDefault="00C30F0F" w:rsidP="00C30F0F">
      <w:pPr>
        <w:pStyle w:val="Proposal"/>
      </w:pPr>
      <w:bookmarkStart w:id="11" w:name="_Toc47452818"/>
      <w:r>
        <w:t xml:space="preserve">RAN2 to discuss </w:t>
      </w:r>
      <w:r w:rsidR="002A3BED">
        <w:t>whether and which modification of the legacy procedure of rees</w:t>
      </w:r>
      <w:r w:rsidR="00E35746">
        <w:t>tablishment might be required</w:t>
      </w:r>
      <w:r w:rsidR="00475698">
        <w:t>.</w:t>
      </w:r>
      <w:bookmarkEnd w:id="11"/>
    </w:p>
    <w:p w14:paraId="2A93230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9B2B3E7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555D615" w14:textId="5D53066A" w:rsidR="003B090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452310" w:history="1">
        <w:r w:rsidR="003B090F" w:rsidRPr="00524EC2">
          <w:rPr>
            <w:rStyle w:val="Hyperlink"/>
            <w:noProof/>
          </w:rPr>
          <w:t>Observation 1</w:t>
        </w:r>
        <w:r w:rsidR="003B090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B090F" w:rsidRPr="00524EC2">
          <w:rPr>
            <w:rStyle w:val="Hyperlink"/>
            <w:noProof/>
          </w:rPr>
          <w:t>The latency reduction techniques should ensure that the existing procedure is not disrupted.</w:t>
        </w:r>
      </w:hyperlink>
    </w:p>
    <w:p w14:paraId="04199584" w14:textId="6192BC7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89A6B1" w14:textId="77777777" w:rsidR="006E1C82" w:rsidRDefault="006E1C82" w:rsidP="008E065E">
      <w:pPr>
        <w:pStyle w:val="BodyText"/>
        <w:rPr>
          <w:b/>
          <w:bCs/>
        </w:rPr>
      </w:pPr>
    </w:p>
    <w:p w14:paraId="0FCCC7E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08B525D" w14:textId="77777777" w:rsidR="001F3D6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452816" w:history="1">
        <w:r w:rsidR="001F3D62" w:rsidRPr="00E251E9">
          <w:rPr>
            <w:rStyle w:val="Hyperlink"/>
            <w:noProof/>
          </w:rPr>
          <w:t>Proposal 1</w:t>
        </w:r>
        <w:r w:rsidR="001F3D6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F3D62" w:rsidRPr="00E251E9">
          <w:rPr>
            <w:rStyle w:val="Hyperlink"/>
            <w:noProof/>
          </w:rPr>
          <w:t>RAN2 to discuss the objective of the WI; particularly as what is expected in terms of signalling.</w:t>
        </w:r>
      </w:hyperlink>
    </w:p>
    <w:p w14:paraId="7BE37C65" w14:textId="77777777" w:rsidR="001F3D62" w:rsidRDefault="00A612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452817" w:history="1">
        <w:r w:rsidR="001F3D62" w:rsidRPr="00E251E9">
          <w:rPr>
            <w:rStyle w:val="Hyperlink"/>
            <w:noProof/>
            <w:lang w:val="sv-SE" w:eastAsia="sv-SE"/>
          </w:rPr>
          <w:t>Proposal 2</w:t>
        </w:r>
        <w:r w:rsidR="001F3D6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F3D62" w:rsidRPr="00E251E9">
          <w:rPr>
            <w:rStyle w:val="Hyperlink"/>
            <w:noProof/>
          </w:rPr>
          <w:t>RAN2 to study and discuss which of the reestablishment procedure require solution that reduces the time taken for all three scenarios listed above.</w:t>
        </w:r>
      </w:hyperlink>
    </w:p>
    <w:p w14:paraId="61281AE3" w14:textId="77777777" w:rsidR="001F3D62" w:rsidRDefault="00A612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452818" w:history="1">
        <w:r w:rsidR="001F3D62" w:rsidRPr="00E251E9">
          <w:rPr>
            <w:rStyle w:val="Hyperlink"/>
            <w:noProof/>
          </w:rPr>
          <w:t>Proposal 3</w:t>
        </w:r>
        <w:r w:rsidR="001F3D6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F3D62" w:rsidRPr="00E251E9">
          <w:rPr>
            <w:rStyle w:val="Hyperlink"/>
            <w:noProof/>
          </w:rPr>
          <w:t>RAN2 to discuss whether and which modification of the legacy procedure of reestablishment might be required.</w:t>
        </w:r>
      </w:hyperlink>
    </w:p>
    <w:p w14:paraId="29942587" w14:textId="70C2E9A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0E37F0C" w14:textId="77777777" w:rsidR="00311702" w:rsidRPr="00CE0424" w:rsidRDefault="00311702" w:rsidP="00AB0BC8"/>
    <w:p w14:paraId="028DAFA7" w14:textId="77777777" w:rsidR="00C01F33" w:rsidRPr="00CE0424" w:rsidRDefault="00C01F33" w:rsidP="006E062C"/>
    <w:p w14:paraId="1098474D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37975354" w14:textId="77777777" w:rsidR="00F20CAB" w:rsidRDefault="00F20CAB" w:rsidP="00F20CAB">
      <w:pPr>
        <w:pStyle w:val="Reference"/>
        <w:rPr>
          <w:lang w:eastAsia="sv-SE"/>
        </w:rPr>
      </w:pPr>
      <w:bookmarkStart w:id="13" w:name="_Ref174151459"/>
      <w:bookmarkStart w:id="14" w:name="_Ref189809556"/>
      <w:r>
        <w:rPr>
          <w:rStyle w:val="normaltextrun"/>
          <w:rFonts w:cs="Arial"/>
          <w:color w:val="000000"/>
          <w:sz w:val="22"/>
          <w:szCs w:val="22"/>
          <w:u w:val="single"/>
          <w:shd w:val="clear" w:color="auto" w:fill="E1E3E6"/>
        </w:rPr>
        <w:t>RP-201306</w:t>
      </w:r>
      <w:r>
        <w:rPr>
          <w:rStyle w:val="normaltextrun"/>
          <w:rFonts w:cs="Arial"/>
          <w:sz w:val="22"/>
          <w:szCs w:val="22"/>
        </w:rPr>
        <w:t>, “WID revision: Additional enhancements for NB-IoT and LTE-MTC”, RAN #88e, Electronic Meeting, June 29</w:t>
      </w:r>
      <w:r>
        <w:rPr>
          <w:rStyle w:val="normaltextrun"/>
          <w:rFonts w:cs="Arial"/>
          <w:sz w:val="17"/>
          <w:szCs w:val="17"/>
          <w:vertAlign w:val="superscript"/>
        </w:rPr>
        <w:t xml:space="preserve">th </w:t>
      </w:r>
      <w:r>
        <w:rPr>
          <w:rStyle w:val="normaltextrun"/>
          <w:rFonts w:cs="Arial"/>
          <w:sz w:val="22"/>
          <w:szCs w:val="22"/>
        </w:rPr>
        <w:t>– July 3</w:t>
      </w:r>
      <w:r>
        <w:rPr>
          <w:rStyle w:val="normaltextrun"/>
          <w:rFonts w:cs="Arial"/>
          <w:sz w:val="17"/>
          <w:szCs w:val="17"/>
          <w:vertAlign w:val="superscript"/>
        </w:rPr>
        <w:t>rd</w:t>
      </w:r>
      <w:r>
        <w:rPr>
          <w:rStyle w:val="normaltextrun"/>
          <w:rFonts w:cs="Arial"/>
          <w:sz w:val="22"/>
          <w:szCs w:val="22"/>
        </w:rPr>
        <w:t>, 2020.</w:t>
      </w:r>
      <w:r>
        <w:rPr>
          <w:rStyle w:val="eop"/>
          <w:rFonts w:cs="Arial"/>
          <w:sz w:val="22"/>
          <w:szCs w:val="22"/>
        </w:rPr>
        <w:t> </w:t>
      </w:r>
    </w:p>
    <w:bookmarkEnd w:id="13"/>
    <w:bookmarkEnd w:id="14"/>
    <w:p w14:paraId="791CADC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29C3A" w14:textId="77777777" w:rsidR="00A612F2" w:rsidRDefault="00A612F2">
      <w:r>
        <w:separator/>
      </w:r>
    </w:p>
  </w:endnote>
  <w:endnote w:type="continuationSeparator" w:id="0">
    <w:p w14:paraId="61C44488" w14:textId="77777777" w:rsidR="00A612F2" w:rsidRDefault="00A612F2">
      <w:r>
        <w:continuationSeparator/>
      </w:r>
    </w:p>
  </w:endnote>
  <w:endnote w:type="continuationNotice" w:id="1">
    <w:p w14:paraId="4CF29622" w14:textId="77777777" w:rsidR="00A612F2" w:rsidRDefault="00A61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18FEB" w14:textId="77777777" w:rsidR="004A6DCE" w:rsidRDefault="004A6D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A415F" w14:textId="77777777" w:rsidR="00A612F2" w:rsidRDefault="00A612F2">
      <w:r>
        <w:separator/>
      </w:r>
    </w:p>
  </w:footnote>
  <w:footnote w:type="continuationSeparator" w:id="0">
    <w:p w14:paraId="6DCB5BC7" w14:textId="77777777" w:rsidR="00A612F2" w:rsidRDefault="00A612F2">
      <w:r>
        <w:continuationSeparator/>
      </w:r>
    </w:p>
  </w:footnote>
  <w:footnote w:type="continuationNotice" w:id="1">
    <w:p w14:paraId="108E38A5" w14:textId="77777777" w:rsidR="00A612F2" w:rsidRDefault="00A612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63D9" w14:textId="77777777" w:rsidR="004A6DCE" w:rsidRDefault="004A6D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D623B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3601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CF53CE"/>
    <w:multiLevelType w:val="hybridMultilevel"/>
    <w:tmpl w:val="9224E4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D1C87558"/>
    <w:lvl w:ilvl="0" w:tplc="4C28F51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C4440"/>
    <w:multiLevelType w:val="hybridMultilevel"/>
    <w:tmpl w:val="2370DE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0036AA"/>
    <w:multiLevelType w:val="hybridMultilevel"/>
    <w:tmpl w:val="ABDA68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EAB54AB"/>
    <w:multiLevelType w:val="hybridMultilevel"/>
    <w:tmpl w:val="B130EC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6C1241F"/>
    <w:multiLevelType w:val="hybridMultilevel"/>
    <w:tmpl w:val="EE3AD480"/>
    <w:lvl w:ilvl="0" w:tplc="DE725042">
      <w:start w:val="15"/>
      <w:numFmt w:val="upperLetter"/>
      <w:lvlText w:val="%1."/>
      <w:lvlJc w:val="left"/>
      <w:pPr>
        <w:ind w:left="720" w:hanging="360"/>
      </w:pPr>
    </w:lvl>
    <w:lvl w:ilvl="1" w:tplc="55AAE636">
      <w:start w:val="1"/>
      <w:numFmt w:val="lowerLetter"/>
      <w:lvlText w:val="%2."/>
      <w:lvlJc w:val="left"/>
      <w:pPr>
        <w:ind w:left="1440" w:hanging="360"/>
      </w:pPr>
    </w:lvl>
    <w:lvl w:ilvl="2" w:tplc="6AC8FF0E">
      <w:start w:val="1"/>
      <w:numFmt w:val="lowerRoman"/>
      <w:lvlText w:val="%3."/>
      <w:lvlJc w:val="right"/>
      <w:pPr>
        <w:ind w:left="2160" w:hanging="180"/>
      </w:pPr>
    </w:lvl>
    <w:lvl w:ilvl="3" w:tplc="72BAA992">
      <w:start w:val="1"/>
      <w:numFmt w:val="decimal"/>
      <w:lvlText w:val="%4."/>
      <w:lvlJc w:val="left"/>
      <w:pPr>
        <w:ind w:left="2880" w:hanging="360"/>
      </w:pPr>
    </w:lvl>
    <w:lvl w:ilvl="4" w:tplc="DB98FBC2">
      <w:start w:val="1"/>
      <w:numFmt w:val="lowerLetter"/>
      <w:lvlText w:val="%5."/>
      <w:lvlJc w:val="left"/>
      <w:pPr>
        <w:ind w:left="3600" w:hanging="360"/>
      </w:pPr>
    </w:lvl>
    <w:lvl w:ilvl="5" w:tplc="C5D64C56">
      <w:start w:val="1"/>
      <w:numFmt w:val="lowerRoman"/>
      <w:lvlText w:val="%6."/>
      <w:lvlJc w:val="right"/>
      <w:pPr>
        <w:ind w:left="4320" w:hanging="180"/>
      </w:pPr>
    </w:lvl>
    <w:lvl w:ilvl="6" w:tplc="D9648704">
      <w:start w:val="1"/>
      <w:numFmt w:val="decimal"/>
      <w:lvlText w:val="%7."/>
      <w:lvlJc w:val="left"/>
      <w:pPr>
        <w:ind w:left="5040" w:hanging="360"/>
      </w:pPr>
    </w:lvl>
    <w:lvl w:ilvl="7" w:tplc="1DB4FB76">
      <w:start w:val="1"/>
      <w:numFmt w:val="lowerLetter"/>
      <w:lvlText w:val="%8."/>
      <w:lvlJc w:val="left"/>
      <w:pPr>
        <w:ind w:left="5760" w:hanging="360"/>
      </w:pPr>
    </w:lvl>
    <w:lvl w:ilvl="8" w:tplc="9496A39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3"/>
  </w:num>
  <w:num w:numId="17">
    <w:abstractNumId w:val="7"/>
  </w:num>
  <w:num w:numId="18">
    <w:abstractNumId w:val="8"/>
  </w:num>
  <w:num w:numId="19">
    <w:abstractNumId w:val="4"/>
  </w:num>
  <w:num w:numId="20">
    <w:abstractNumId w:val="26"/>
  </w:num>
  <w:num w:numId="21">
    <w:abstractNumId w:val="12"/>
  </w:num>
  <w:num w:numId="22">
    <w:abstractNumId w:val="24"/>
  </w:num>
  <w:num w:numId="23">
    <w:abstractNumId w:val="6"/>
  </w:num>
  <w:num w:numId="24">
    <w:abstractNumId w:val="19"/>
  </w:num>
  <w:num w:numId="25">
    <w:abstractNumId w:val="25"/>
  </w:num>
  <w:num w:numId="26">
    <w:abstractNumId w:val="5"/>
  </w:num>
  <w:num w:numId="27">
    <w:abstractNumId w:val="17"/>
  </w:num>
  <w:num w:numId="2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29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46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896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5BE"/>
    <w:rsid w:val="000B4AB9"/>
    <w:rsid w:val="000B58C3"/>
    <w:rsid w:val="000B61E9"/>
    <w:rsid w:val="000C165A"/>
    <w:rsid w:val="000C28CC"/>
    <w:rsid w:val="000C2E19"/>
    <w:rsid w:val="000D0D07"/>
    <w:rsid w:val="000D4797"/>
    <w:rsid w:val="000E0527"/>
    <w:rsid w:val="000E1E92"/>
    <w:rsid w:val="000E5F42"/>
    <w:rsid w:val="000F06D6"/>
    <w:rsid w:val="000F0EB1"/>
    <w:rsid w:val="000F1106"/>
    <w:rsid w:val="000F3BE9"/>
    <w:rsid w:val="000F3F6C"/>
    <w:rsid w:val="000F6DF3"/>
    <w:rsid w:val="000F75EC"/>
    <w:rsid w:val="001005FF"/>
    <w:rsid w:val="00101F4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513"/>
    <w:rsid w:val="00132FD0"/>
    <w:rsid w:val="001344C0"/>
    <w:rsid w:val="001346FA"/>
    <w:rsid w:val="00135252"/>
    <w:rsid w:val="00135272"/>
    <w:rsid w:val="00137AB5"/>
    <w:rsid w:val="00137F0B"/>
    <w:rsid w:val="00151E23"/>
    <w:rsid w:val="001526E0"/>
    <w:rsid w:val="001551B5"/>
    <w:rsid w:val="001659C1"/>
    <w:rsid w:val="00166AFD"/>
    <w:rsid w:val="0017180F"/>
    <w:rsid w:val="00173A8E"/>
    <w:rsid w:val="0017502C"/>
    <w:rsid w:val="0018143F"/>
    <w:rsid w:val="00181FF8"/>
    <w:rsid w:val="00190AC1"/>
    <w:rsid w:val="0019341A"/>
    <w:rsid w:val="001955D1"/>
    <w:rsid w:val="0019560A"/>
    <w:rsid w:val="00197DF9"/>
    <w:rsid w:val="001A0C5F"/>
    <w:rsid w:val="001A1987"/>
    <w:rsid w:val="001A2564"/>
    <w:rsid w:val="001A2C06"/>
    <w:rsid w:val="001A3AC7"/>
    <w:rsid w:val="001A6173"/>
    <w:rsid w:val="001A6CBA"/>
    <w:rsid w:val="001B0D97"/>
    <w:rsid w:val="001B5A5D"/>
    <w:rsid w:val="001B7647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3D62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D64"/>
    <w:rsid w:val="002252C3"/>
    <w:rsid w:val="00225C54"/>
    <w:rsid w:val="00230765"/>
    <w:rsid w:val="00230D18"/>
    <w:rsid w:val="0023116E"/>
    <w:rsid w:val="002319E4"/>
    <w:rsid w:val="00235632"/>
    <w:rsid w:val="00235872"/>
    <w:rsid w:val="00241559"/>
    <w:rsid w:val="002435B3"/>
    <w:rsid w:val="002458EB"/>
    <w:rsid w:val="00247A71"/>
    <w:rsid w:val="002500C8"/>
    <w:rsid w:val="00257543"/>
    <w:rsid w:val="0025786A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79"/>
    <w:rsid w:val="0028280A"/>
    <w:rsid w:val="00286ACD"/>
    <w:rsid w:val="00287838"/>
    <w:rsid w:val="002907B5"/>
    <w:rsid w:val="00292EB7"/>
    <w:rsid w:val="0029371C"/>
    <w:rsid w:val="002952B8"/>
    <w:rsid w:val="00296227"/>
    <w:rsid w:val="00296F44"/>
    <w:rsid w:val="0029777D"/>
    <w:rsid w:val="002A055E"/>
    <w:rsid w:val="002A1D4E"/>
    <w:rsid w:val="002A2869"/>
    <w:rsid w:val="002A3BED"/>
    <w:rsid w:val="002B24D6"/>
    <w:rsid w:val="002B4175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4897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57CC4"/>
    <w:rsid w:val="003602D9"/>
    <w:rsid w:val="003604CE"/>
    <w:rsid w:val="00370E47"/>
    <w:rsid w:val="003742AC"/>
    <w:rsid w:val="0037736A"/>
    <w:rsid w:val="00377CE1"/>
    <w:rsid w:val="00381C29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90F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4B6"/>
    <w:rsid w:val="003E55E4"/>
    <w:rsid w:val="003E74E3"/>
    <w:rsid w:val="003F05C7"/>
    <w:rsid w:val="003F2CD4"/>
    <w:rsid w:val="003F6BBE"/>
    <w:rsid w:val="003F7D3C"/>
    <w:rsid w:val="004000E8"/>
    <w:rsid w:val="00402E2B"/>
    <w:rsid w:val="0040512B"/>
    <w:rsid w:val="00405CA5"/>
    <w:rsid w:val="00406E3C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3281"/>
    <w:rsid w:val="00457565"/>
    <w:rsid w:val="00457B71"/>
    <w:rsid w:val="004669E2"/>
    <w:rsid w:val="00467505"/>
    <w:rsid w:val="00470C31"/>
    <w:rsid w:val="00471DE0"/>
    <w:rsid w:val="004734D0"/>
    <w:rsid w:val="0047556B"/>
    <w:rsid w:val="00475698"/>
    <w:rsid w:val="00477768"/>
    <w:rsid w:val="00492BC5"/>
    <w:rsid w:val="004964F1"/>
    <w:rsid w:val="004A16BC"/>
    <w:rsid w:val="004A2B94"/>
    <w:rsid w:val="004A6DCE"/>
    <w:rsid w:val="004B254B"/>
    <w:rsid w:val="004B6F6A"/>
    <w:rsid w:val="004B7C0C"/>
    <w:rsid w:val="004C3898"/>
    <w:rsid w:val="004D36B1"/>
    <w:rsid w:val="004D7EBD"/>
    <w:rsid w:val="004E0ADC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4D0E"/>
    <w:rsid w:val="00572505"/>
    <w:rsid w:val="00582809"/>
    <w:rsid w:val="0058798C"/>
    <w:rsid w:val="005900FA"/>
    <w:rsid w:val="0059241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357"/>
    <w:rsid w:val="005D1602"/>
    <w:rsid w:val="005E25E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6BE"/>
    <w:rsid w:val="00613257"/>
    <w:rsid w:val="00620A71"/>
    <w:rsid w:val="00620D80"/>
    <w:rsid w:val="00621BED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245"/>
    <w:rsid w:val="006634E6"/>
    <w:rsid w:val="006655EE"/>
    <w:rsid w:val="00667EE7"/>
    <w:rsid w:val="00670922"/>
    <w:rsid w:val="00670BE1"/>
    <w:rsid w:val="0067218F"/>
    <w:rsid w:val="006741F2"/>
    <w:rsid w:val="0067458B"/>
    <w:rsid w:val="00674CC3"/>
    <w:rsid w:val="00675C72"/>
    <w:rsid w:val="006771F9"/>
    <w:rsid w:val="006776D7"/>
    <w:rsid w:val="00681003"/>
    <w:rsid w:val="006817C9"/>
    <w:rsid w:val="00683ECE"/>
    <w:rsid w:val="00684AE2"/>
    <w:rsid w:val="00695FC2"/>
    <w:rsid w:val="00696949"/>
    <w:rsid w:val="00697052"/>
    <w:rsid w:val="006A46FB"/>
    <w:rsid w:val="006A5E28"/>
    <w:rsid w:val="006A697B"/>
    <w:rsid w:val="006A7AFF"/>
    <w:rsid w:val="006B0B6B"/>
    <w:rsid w:val="006B1816"/>
    <w:rsid w:val="006B2099"/>
    <w:rsid w:val="006B2C7D"/>
    <w:rsid w:val="006B50CF"/>
    <w:rsid w:val="006C03B8"/>
    <w:rsid w:val="006C5EC9"/>
    <w:rsid w:val="006C6059"/>
    <w:rsid w:val="006C7522"/>
    <w:rsid w:val="006D494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6E8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421"/>
    <w:rsid w:val="007571E1"/>
    <w:rsid w:val="00757A16"/>
    <w:rsid w:val="007604B2"/>
    <w:rsid w:val="007636B1"/>
    <w:rsid w:val="00765281"/>
    <w:rsid w:val="00766BAD"/>
    <w:rsid w:val="00770363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1CB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CF2"/>
    <w:rsid w:val="007E4610"/>
    <w:rsid w:val="007E4715"/>
    <w:rsid w:val="007E505B"/>
    <w:rsid w:val="007E7091"/>
    <w:rsid w:val="00803FAE"/>
    <w:rsid w:val="0080605F"/>
    <w:rsid w:val="00806BE3"/>
    <w:rsid w:val="00807786"/>
    <w:rsid w:val="00811FCB"/>
    <w:rsid w:val="008158D6"/>
    <w:rsid w:val="00817196"/>
    <w:rsid w:val="008235DB"/>
    <w:rsid w:val="00823A01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070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F80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257"/>
    <w:rsid w:val="00984670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21A"/>
    <w:rsid w:val="009A5CBA"/>
    <w:rsid w:val="009B1F30"/>
    <w:rsid w:val="009B3AC2"/>
    <w:rsid w:val="009B4DF4"/>
    <w:rsid w:val="009B564E"/>
    <w:rsid w:val="009B6207"/>
    <w:rsid w:val="009B7E87"/>
    <w:rsid w:val="009C0169"/>
    <w:rsid w:val="009C078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32E"/>
    <w:rsid w:val="00A048A8"/>
    <w:rsid w:val="00A04F49"/>
    <w:rsid w:val="00A13AB2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2F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5A8"/>
    <w:rsid w:val="00A8423D"/>
    <w:rsid w:val="00A92879"/>
    <w:rsid w:val="00A94007"/>
    <w:rsid w:val="00A9442A"/>
    <w:rsid w:val="00A9583C"/>
    <w:rsid w:val="00AA016F"/>
    <w:rsid w:val="00AA1ED6"/>
    <w:rsid w:val="00AA51D6"/>
    <w:rsid w:val="00AA63BF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A85"/>
    <w:rsid w:val="00B02AA9"/>
    <w:rsid w:val="00B02FA3"/>
    <w:rsid w:val="00B0382A"/>
    <w:rsid w:val="00B05084"/>
    <w:rsid w:val="00B113EB"/>
    <w:rsid w:val="00B157F9"/>
    <w:rsid w:val="00B20256"/>
    <w:rsid w:val="00B20D09"/>
    <w:rsid w:val="00B21F23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4A2"/>
    <w:rsid w:val="00B548B7"/>
    <w:rsid w:val="00B64679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3C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8EB"/>
    <w:rsid w:val="00C040F7"/>
    <w:rsid w:val="00C044AB"/>
    <w:rsid w:val="00C05706"/>
    <w:rsid w:val="00C06DEE"/>
    <w:rsid w:val="00C07377"/>
    <w:rsid w:val="00C10478"/>
    <w:rsid w:val="00C12107"/>
    <w:rsid w:val="00C14D4B"/>
    <w:rsid w:val="00C154BB"/>
    <w:rsid w:val="00C1601A"/>
    <w:rsid w:val="00C268E6"/>
    <w:rsid w:val="00C26F9F"/>
    <w:rsid w:val="00C279B5"/>
    <w:rsid w:val="00C27C45"/>
    <w:rsid w:val="00C30F0F"/>
    <w:rsid w:val="00C3719D"/>
    <w:rsid w:val="00C37CB2"/>
    <w:rsid w:val="00C42C47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06C"/>
    <w:rsid w:val="00C81568"/>
    <w:rsid w:val="00C86B37"/>
    <w:rsid w:val="00C9027A"/>
    <w:rsid w:val="00C9068E"/>
    <w:rsid w:val="00C92DE9"/>
    <w:rsid w:val="00C93814"/>
    <w:rsid w:val="00C93C4B"/>
    <w:rsid w:val="00C944AB"/>
    <w:rsid w:val="00C95B40"/>
    <w:rsid w:val="00C96C09"/>
    <w:rsid w:val="00CA1ED8"/>
    <w:rsid w:val="00CA4650"/>
    <w:rsid w:val="00CA56DB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615"/>
    <w:rsid w:val="00D13135"/>
    <w:rsid w:val="00D13E4E"/>
    <w:rsid w:val="00D15B02"/>
    <w:rsid w:val="00D239A7"/>
    <w:rsid w:val="00D23F47"/>
    <w:rsid w:val="00D30AC7"/>
    <w:rsid w:val="00D36E71"/>
    <w:rsid w:val="00D37D87"/>
    <w:rsid w:val="00D40B33"/>
    <w:rsid w:val="00D4318F"/>
    <w:rsid w:val="00D438BF"/>
    <w:rsid w:val="00D440F8"/>
    <w:rsid w:val="00D5239A"/>
    <w:rsid w:val="00D546FF"/>
    <w:rsid w:val="00D55AD5"/>
    <w:rsid w:val="00D576CA"/>
    <w:rsid w:val="00D61AF5"/>
    <w:rsid w:val="00D652B5"/>
    <w:rsid w:val="00D66155"/>
    <w:rsid w:val="00D70239"/>
    <w:rsid w:val="00D708B0"/>
    <w:rsid w:val="00D72970"/>
    <w:rsid w:val="00D73263"/>
    <w:rsid w:val="00D77B1D"/>
    <w:rsid w:val="00D8021F"/>
    <w:rsid w:val="00D80383"/>
    <w:rsid w:val="00D823C6"/>
    <w:rsid w:val="00D8327F"/>
    <w:rsid w:val="00D86124"/>
    <w:rsid w:val="00D86CA3"/>
    <w:rsid w:val="00D871CE"/>
    <w:rsid w:val="00D9196D"/>
    <w:rsid w:val="00D92329"/>
    <w:rsid w:val="00D92982"/>
    <w:rsid w:val="00D97523"/>
    <w:rsid w:val="00DA305E"/>
    <w:rsid w:val="00DA5417"/>
    <w:rsid w:val="00DA56E8"/>
    <w:rsid w:val="00DB0A9F"/>
    <w:rsid w:val="00DB377D"/>
    <w:rsid w:val="00DC2401"/>
    <w:rsid w:val="00DC2D36"/>
    <w:rsid w:val="00DC53EF"/>
    <w:rsid w:val="00DD4460"/>
    <w:rsid w:val="00DE5608"/>
    <w:rsid w:val="00DE58D0"/>
    <w:rsid w:val="00DE654F"/>
    <w:rsid w:val="00DF0B6E"/>
    <w:rsid w:val="00DF15E0"/>
    <w:rsid w:val="00DF37A0"/>
    <w:rsid w:val="00DF4FA2"/>
    <w:rsid w:val="00E110E7"/>
    <w:rsid w:val="00E11B20"/>
    <w:rsid w:val="00E17FA2"/>
    <w:rsid w:val="00E22330"/>
    <w:rsid w:val="00E2686B"/>
    <w:rsid w:val="00E26E97"/>
    <w:rsid w:val="00E3037A"/>
    <w:rsid w:val="00E30B5A"/>
    <w:rsid w:val="00E3123D"/>
    <w:rsid w:val="00E31461"/>
    <w:rsid w:val="00E31D43"/>
    <w:rsid w:val="00E32608"/>
    <w:rsid w:val="00E34188"/>
    <w:rsid w:val="00E34B6E"/>
    <w:rsid w:val="00E35559"/>
    <w:rsid w:val="00E35746"/>
    <w:rsid w:val="00E3723A"/>
    <w:rsid w:val="00E37860"/>
    <w:rsid w:val="00E37862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356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317"/>
    <w:rsid w:val="00EB4EA2"/>
    <w:rsid w:val="00EB5A4E"/>
    <w:rsid w:val="00EC09FE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0373"/>
    <w:rsid w:val="00F0528D"/>
    <w:rsid w:val="00F068F2"/>
    <w:rsid w:val="00F06C67"/>
    <w:rsid w:val="00F06DFD"/>
    <w:rsid w:val="00F071D1"/>
    <w:rsid w:val="00F07533"/>
    <w:rsid w:val="00F10629"/>
    <w:rsid w:val="00F15FA5"/>
    <w:rsid w:val="00F209B7"/>
    <w:rsid w:val="00F20CAB"/>
    <w:rsid w:val="00F20F5C"/>
    <w:rsid w:val="00F22FAE"/>
    <w:rsid w:val="00F2376F"/>
    <w:rsid w:val="00F243D8"/>
    <w:rsid w:val="00F24688"/>
    <w:rsid w:val="00F30828"/>
    <w:rsid w:val="00F313D6"/>
    <w:rsid w:val="00F36B0F"/>
    <w:rsid w:val="00F40F0C"/>
    <w:rsid w:val="00F4766C"/>
    <w:rsid w:val="00F5060E"/>
    <w:rsid w:val="00F507D1"/>
    <w:rsid w:val="00F519CE"/>
    <w:rsid w:val="00F51ADA"/>
    <w:rsid w:val="00F51FB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C0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AE1"/>
    <w:rsid w:val="00FB4C80"/>
    <w:rsid w:val="00FB6A6A"/>
    <w:rsid w:val="00FC7429"/>
    <w:rsid w:val="00FD07F6"/>
    <w:rsid w:val="00FD1EC8"/>
    <w:rsid w:val="00FD3EB7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01B"/>
    <w:rsid w:val="00FF2AAE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77A16E"/>
  <w15:chartTrackingRefBased/>
  <w15:docId w15:val="{349AEAAF-D372-4BA2-A683-24CB9436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66A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66AFD"/>
    <w:rPr>
      <w:rFonts w:ascii="Arial" w:eastAsia="SimSun" w:hAnsi="Arial"/>
      <w:spacing w:val="2"/>
      <w:lang w:val="en-US" w:eastAsia="en-US"/>
    </w:rPr>
  </w:style>
  <w:style w:type="character" w:customStyle="1" w:styleId="normaltextrun">
    <w:name w:val="normaltextrun"/>
    <w:basedOn w:val="DefaultParagraphFont"/>
    <w:rsid w:val="00F20CAB"/>
  </w:style>
  <w:style w:type="character" w:customStyle="1" w:styleId="eop">
    <w:name w:val="eop"/>
    <w:basedOn w:val="DefaultParagraphFont"/>
    <w:rsid w:val="00F20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9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%20Contribution%20Template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E8B712-727E-4863-B98F-61811C7AD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672F5C-B6D0-44E9-A4E9-A3C191709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 (2)</Template>
  <TotalTime>0</TotalTime>
  <Pages>3</Pages>
  <Words>878</Words>
  <Characters>4655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2008-01-31T07:09:00Z</cp:lastPrinted>
  <dcterms:created xsi:type="dcterms:W3CDTF">2020-08-06T21:23:00Z</dcterms:created>
  <dcterms:modified xsi:type="dcterms:W3CDTF">2020-08-06T21:23:00Z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